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FD2" w:rsidRPr="005134E2" w:rsidRDefault="00151FD2" w:rsidP="00151FD2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</w:t>
      </w:r>
    </w:p>
    <w:p w:rsidR="00151FD2" w:rsidRPr="00C95A2B" w:rsidRDefault="00151FD2" w:rsidP="00936549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B6BA47F" wp14:editId="5B9274ED">
            <wp:extent cx="4953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FD2" w:rsidRPr="00C95A2B" w:rsidRDefault="00151FD2" w:rsidP="00151FD2">
      <w:pPr>
        <w:rPr>
          <w:sz w:val="16"/>
          <w:szCs w:val="16"/>
        </w:rPr>
      </w:pPr>
    </w:p>
    <w:p w:rsidR="00151FD2" w:rsidRPr="00C95A2B" w:rsidRDefault="00151FD2" w:rsidP="00151FD2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151FD2" w:rsidRPr="00C95A2B" w:rsidRDefault="00151FD2" w:rsidP="00151FD2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151FD2" w:rsidRPr="00C95A2B" w:rsidRDefault="00151FD2" w:rsidP="00151FD2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151FD2" w:rsidRPr="00C95A2B" w:rsidRDefault="00151FD2" w:rsidP="00151FD2"/>
    <w:tbl>
      <w:tblPr>
        <w:tblW w:w="0" w:type="auto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151FD2" w:rsidRPr="00710572" w:rsidTr="009B1CB3">
        <w:tc>
          <w:tcPr>
            <w:tcW w:w="3285" w:type="dxa"/>
          </w:tcPr>
          <w:p w:rsidR="00151FD2" w:rsidRPr="006F1E59" w:rsidRDefault="00151FD2" w:rsidP="009B1CB3">
            <w:pPr>
              <w:rPr>
                <w:color w:val="000000"/>
              </w:rPr>
            </w:pPr>
            <w:r>
              <w:rPr>
                <w:color w:val="000000"/>
              </w:rPr>
              <w:t xml:space="preserve">Двадцять </w:t>
            </w:r>
            <w:r w:rsidR="007F0D87">
              <w:rPr>
                <w:color w:val="000000"/>
              </w:rPr>
              <w:t>восьма</w:t>
            </w:r>
            <w:r>
              <w:rPr>
                <w:color w:val="000000"/>
              </w:rPr>
              <w:t xml:space="preserve"> сесія</w:t>
            </w:r>
          </w:p>
        </w:tc>
        <w:tc>
          <w:tcPr>
            <w:tcW w:w="3285" w:type="dxa"/>
          </w:tcPr>
          <w:p w:rsidR="00151FD2" w:rsidRPr="006F1E59" w:rsidRDefault="00151FD2" w:rsidP="009B1CB3">
            <w:pPr>
              <w:rPr>
                <w:color w:val="000000"/>
              </w:rPr>
            </w:pPr>
          </w:p>
        </w:tc>
        <w:tc>
          <w:tcPr>
            <w:tcW w:w="3285" w:type="dxa"/>
          </w:tcPr>
          <w:p w:rsidR="00151FD2" w:rsidRPr="006F1E59" w:rsidRDefault="00151FD2" w:rsidP="009B1CB3">
            <w:pPr>
              <w:rPr>
                <w:color w:val="000000"/>
              </w:rPr>
            </w:pPr>
            <w:r w:rsidRPr="006F1E59">
              <w:rPr>
                <w:color w:val="000000"/>
                <w:lang w:val="en-US"/>
              </w:rPr>
              <w:t>VI</w:t>
            </w:r>
            <w:r w:rsidRPr="006F1E59">
              <w:rPr>
                <w:color w:val="000000"/>
              </w:rPr>
              <w:t>І</w:t>
            </w:r>
            <w:r w:rsidRPr="006F1E59">
              <w:rPr>
                <w:color w:val="000000"/>
                <w:lang w:val="en-US"/>
              </w:rPr>
              <w:t xml:space="preserve">I </w:t>
            </w:r>
            <w:r w:rsidRPr="006F1E59">
              <w:rPr>
                <w:color w:val="000000"/>
              </w:rPr>
              <w:t>скликання</w:t>
            </w:r>
          </w:p>
        </w:tc>
      </w:tr>
      <w:tr w:rsidR="00151FD2" w:rsidRPr="00710572" w:rsidTr="009B1CB3">
        <w:tc>
          <w:tcPr>
            <w:tcW w:w="3285" w:type="dxa"/>
          </w:tcPr>
          <w:p w:rsidR="00151FD2" w:rsidRPr="006F1E59" w:rsidRDefault="00151FD2" w:rsidP="009B1CB3">
            <w:pPr>
              <w:rPr>
                <w:color w:val="000000"/>
              </w:rPr>
            </w:pPr>
            <w:r w:rsidRPr="006F1E59">
              <w:rPr>
                <w:color w:val="000000"/>
              </w:rPr>
              <w:t>"</w:t>
            </w:r>
            <w:r>
              <w:rPr>
                <w:color w:val="000000"/>
              </w:rPr>
              <w:t>23</w:t>
            </w:r>
            <w:r w:rsidRPr="006F1E59">
              <w:rPr>
                <w:color w:val="000000"/>
              </w:rPr>
              <w:t xml:space="preserve">" </w:t>
            </w:r>
            <w:r>
              <w:rPr>
                <w:color w:val="000000"/>
              </w:rPr>
              <w:t>жовтня</w:t>
            </w:r>
            <w:r w:rsidRPr="006F1E59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4</w:t>
            </w:r>
            <w:r w:rsidRPr="006F1E59">
              <w:rPr>
                <w:color w:val="000000"/>
              </w:rPr>
              <w:t xml:space="preserve"> р.  </w:t>
            </w:r>
          </w:p>
        </w:tc>
        <w:tc>
          <w:tcPr>
            <w:tcW w:w="3285" w:type="dxa"/>
          </w:tcPr>
          <w:p w:rsidR="00151FD2" w:rsidRPr="006F1E59" w:rsidRDefault="000816C9" w:rsidP="009B1C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селище </w:t>
            </w:r>
            <w:r w:rsidR="00151FD2" w:rsidRPr="006F1E59">
              <w:rPr>
                <w:color w:val="000000"/>
              </w:rPr>
              <w:t>Ємільчине</w:t>
            </w:r>
          </w:p>
        </w:tc>
        <w:tc>
          <w:tcPr>
            <w:tcW w:w="3285" w:type="dxa"/>
          </w:tcPr>
          <w:p w:rsidR="00151FD2" w:rsidRPr="00B2344E" w:rsidRDefault="00151FD2" w:rsidP="009B1CB3">
            <w:pPr>
              <w:rPr>
                <w:color w:val="000000"/>
                <w:lang w:val="en-US"/>
              </w:rPr>
            </w:pPr>
            <w:r w:rsidRPr="006F1E59">
              <w:rPr>
                <w:color w:val="000000"/>
              </w:rPr>
              <w:t xml:space="preserve">№  </w:t>
            </w:r>
          </w:p>
        </w:tc>
      </w:tr>
    </w:tbl>
    <w:p w:rsidR="00151FD2" w:rsidRDefault="00151FD2" w:rsidP="00151FD2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151FD2" w:rsidTr="009B1CB3">
        <w:tc>
          <w:tcPr>
            <w:tcW w:w="4248" w:type="dxa"/>
            <w:hideMark/>
          </w:tcPr>
          <w:p w:rsidR="00151FD2" w:rsidRDefault="00151FD2" w:rsidP="009B1CB3">
            <w:pPr>
              <w:spacing w:line="254" w:lineRule="auto"/>
              <w:jc w:val="both"/>
              <w:rPr>
                <w:b/>
              </w:rPr>
            </w:pPr>
            <w:r>
              <w:rPr>
                <w:b/>
              </w:rPr>
              <w:t>Про внесення змін до фінансового плану КНП «Ємільчинська лікарня»  Ємільчинської селищної ради Житомирської області на 2024 рік</w:t>
            </w:r>
          </w:p>
        </w:tc>
        <w:tc>
          <w:tcPr>
            <w:tcW w:w="4785" w:type="dxa"/>
          </w:tcPr>
          <w:p w:rsidR="00151FD2" w:rsidRDefault="00151FD2" w:rsidP="009B1CB3">
            <w:pPr>
              <w:spacing w:line="254" w:lineRule="auto"/>
            </w:pPr>
          </w:p>
        </w:tc>
      </w:tr>
    </w:tbl>
    <w:p w:rsidR="00151FD2" w:rsidRDefault="00151FD2" w:rsidP="00151FD2"/>
    <w:p w:rsidR="00151FD2" w:rsidRDefault="00151FD2" w:rsidP="00151FD2"/>
    <w:p w:rsidR="00151FD2" w:rsidRDefault="00151FD2" w:rsidP="00151FD2">
      <w:pPr>
        <w:ind w:right="-1" w:firstLine="708"/>
        <w:jc w:val="both"/>
      </w:pPr>
      <w:r>
        <w:t xml:space="preserve">Відповідно до ст.26 Закону України «Про місцеве самоврядування в Україні», рішення сесії селищної ради від 23.08.2023 року № 2775 «Про затвердження Порядку складання, затвердження та контролю виконання фінансового плану комунальних некомерційних підприємств, комунальних підприємств та установ Ємільчинської селищної ради», </w:t>
      </w:r>
      <w:r>
        <w:rPr>
          <w:color w:val="000000"/>
        </w:rPr>
        <w:t xml:space="preserve"> враховуючи </w:t>
      </w:r>
      <w:r>
        <w:t>висновки постійної комісії селищної ради з</w:t>
      </w:r>
      <w:r>
        <w:rPr>
          <w:color w:val="000000"/>
        </w:rPr>
        <w:t xml:space="preserve"> </w:t>
      </w:r>
      <w:r>
        <w:t>питань планування, фінансів, бюджету та комунальної власності, селищна рада</w:t>
      </w:r>
    </w:p>
    <w:p w:rsidR="00151FD2" w:rsidRDefault="00151FD2" w:rsidP="00151FD2">
      <w:pPr>
        <w:jc w:val="both"/>
      </w:pPr>
    </w:p>
    <w:p w:rsidR="00151FD2" w:rsidRPr="00A4438C" w:rsidRDefault="00151FD2" w:rsidP="00151FD2">
      <w:pPr>
        <w:jc w:val="both"/>
      </w:pPr>
      <w:r w:rsidRPr="00A4438C">
        <w:t xml:space="preserve">    ВИРІШИЛА:</w:t>
      </w:r>
    </w:p>
    <w:p w:rsidR="00151FD2" w:rsidRDefault="00151FD2" w:rsidP="00151FD2">
      <w:pPr>
        <w:jc w:val="both"/>
      </w:pPr>
    </w:p>
    <w:p w:rsidR="00151FD2" w:rsidRDefault="00151FD2" w:rsidP="00151FD2">
      <w:pPr>
        <w:ind w:firstLine="510"/>
        <w:jc w:val="both"/>
      </w:pPr>
      <w:r>
        <w:t>Внести зміни до фінансового плану  КНП «Ємільчинська лікарня Ємільчинської селищної ради Житомирської області»  на  2024 рік (додається).</w:t>
      </w:r>
    </w:p>
    <w:p w:rsidR="00151FD2" w:rsidRDefault="00151FD2" w:rsidP="00151FD2">
      <w:pPr>
        <w:ind w:left="510"/>
        <w:jc w:val="both"/>
      </w:pPr>
    </w:p>
    <w:p w:rsidR="00151FD2" w:rsidRDefault="00151FD2" w:rsidP="00151FD2">
      <w:pPr>
        <w:jc w:val="both"/>
      </w:pPr>
    </w:p>
    <w:p w:rsidR="00151FD2" w:rsidRDefault="00151FD2" w:rsidP="00151FD2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151FD2" w:rsidTr="009B1CB3">
        <w:tc>
          <w:tcPr>
            <w:tcW w:w="7128" w:type="dxa"/>
            <w:hideMark/>
          </w:tcPr>
          <w:p w:rsidR="00151FD2" w:rsidRDefault="00151FD2" w:rsidP="009B1CB3">
            <w:pPr>
              <w:spacing w:line="254" w:lineRule="auto"/>
            </w:pPr>
            <w:r>
              <w:t>Селищний голова</w:t>
            </w:r>
          </w:p>
        </w:tc>
        <w:tc>
          <w:tcPr>
            <w:tcW w:w="2520" w:type="dxa"/>
            <w:hideMark/>
          </w:tcPr>
          <w:p w:rsidR="00151FD2" w:rsidRDefault="00151FD2" w:rsidP="009B1CB3">
            <w:pPr>
              <w:spacing w:line="254" w:lineRule="auto"/>
            </w:pPr>
            <w:r>
              <w:t>Сергій ВОЛОЩУК</w:t>
            </w:r>
          </w:p>
        </w:tc>
      </w:tr>
    </w:tbl>
    <w:p w:rsidR="00151FD2" w:rsidRDefault="00151FD2" w:rsidP="00151FD2">
      <w:pPr>
        <w:jc w:val="both"/>
      </w:pPr>
    </w:p>
    <w:p w:rsidR="00151FD2" w:rsidRDefault="00151FD2" w:rsidP="00151FD2">
      <w:pPr>
        <w:jc w:val="both"/>
      </w:pPr>
    </w:p>
    <w:p w:rsidR="00151FD2" w:rsidRDefault="00151FD2" w:rsidP="00151FD2">
      <w:pPr>
        <w:jc w:val="both"/>
      </w:pPr>
    </w:p>
    <w:p w:rsidR="00151FD2" w:rsidRDefault="00151FD2" w:rsidP="00151FD2">
      <w:pPr>
        <w:jc w:val="both"/>
      </w:pPr>
    </w:p>
    <w:p w:rsidR="00E753DF" w:rsidRDefault="00E753D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Default="008E714F"/>
    <w:p w:rsidR="008E714F" w:rsidRPr="001D6ACB" w:rsidRDefault="008E714F" w:rsidP="008E714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1D6ACB">
        <w:rPr>
          <w:rFonts w:ascii="Times New Roman" w:hAnsi="Times New Roman" w:cs="Times New Roman"/>
          <w:b/>
          <w:bCs/>
          <w:sz w:val="24"/>
          <w:szCs w:val="24"/>
        </w:rPr>
        <w:t>Пояснювальна записка до  змін фінансового плану по Комунальному некомерційному підприємстві «Ємільчинська лікарня» Ємільчинської селищної ради Житомирської області на 2024 рік</w:t>
      </w:r>
    </w:p>
    <w:p w:rsidR="008E714F" w:rsidRPr="001D6ACB" w:rsidRDefault="008E714F" w:rsidP="008E714F">
      <w:pPr>
        <w:pStyle w:val="a4"/>
        <w:rPr>
          <w:sz w:val="24"/>
          <w:szCs w:val="24"/>
        </w:rPr>
      </w:pPr>
    </w:p>
    <w:p w:rsidR="008E714F" w:rsidRPr="001D6ACB" w:rsidRDefault="008E714F" w:rsidP="008E714F">
      <w:pPr>
        <w:pStyle w:val="a4"/>
        <w:rPr>
          <w:sz w:val="24"/>
          <w:szCs w:val="24"/>
        </w:rPr>
      </w:pPr>
    </w:p>
    <w:p w:rsidR="008E714F" w:rsidRPr="001D6ACB" w:rsidRDefault="008E714F" w:rsidP="008E714F">
      <w:pPr>
        <w:pStyle w:val="a8"/>
        <w:tabs>
          <w:tab w:val="left" w:pos="9214"/>
          <w:tab w:val="left" w:pos="9498"/>
        </w:tabs>
        <w:spacing w:after="0"/>
        <w:ind w:right="28" w:firstLine="567"/>
        <w:contextualSpacing/>
        <w:jc w:val="both"/>
        <w:rPr>
          <w:rStyle w:val="a7"/>
          <w:rFonts w:ascii="Times New Roman" w:hAnsi="Times New Roman"/>
          <w:i w:val="0"/>
          <w:lang w:val="uk-UA"/>
        </w:rPr>
      </w:pPr>
      <w:r w:rsidRPr="001D6ACB">
        <w:rPr>
          <w:rFonts w:ascii="Times New Roman" w:hAnsi="Times New Roman"/>
          <w:lang w:val="uk-UA" w:eastAsia="ru-RU"/>
        </w:rPr>
        <w:t>Основними напрямками діяльності К</w:t>
      </w:r>
      <w:r w:rsidRPr="001D6ACB">
        <w:rPr>
          <w:rStyle w:val="a7"/>
          <w:rFonts w:ascii="Times New Roman" w:hAnsi="Times New Roman"/>
          <w:lang w:val="uk-UA"/>
        </w:rPr>
        <w:t>омунального некомерційного підприємства «</w:t>
      </w:r>
      <w:r w:rsidRPr="001D6ACB">
        <w:rPr>
          <w:rFonts w:ascii="Times New Roman" w:hAnsi="Times New Roman"/>
          <w:lang w:val="uk-UA"/>
        </w:rPr>
        <w:t>Ємільчинська лікарня» Ємільчинської селищної ради Житомирської області</w:t>
      </w:r>
      <w:r w:rsidRPr="001D6ACB">
        <w:rPr>
          <w:rFonts w:ascii="Times New Roman" w:hAnsi="Times New Roman"/>
          <w:lang w:val="uk-UA" w:eastAsia="ru-RU"/>
        </w:rPr>
        <w:t xml:space="preserve">, яке діє на основі Статуту, є </w:t>
      </w:r>
      <w:r w:rsidRPr="001D6ACB">
        <w:rPr>
          <w:rStyle w:val="a7"/>
          <w:rFonts w:ascii="Times New Roman" w:hAnsi="Times New Roman"/>
          <w:lang w:val="uk-UA"/>
        </w:rPr>
        <w:t>надання вторинної (спеціалізованої) медичної допомоги населенню в порядку і на умовах, встановлених законодавством України та Статутом.</w:t>
      </w:r>
    </w:p>
    <w:p w:rsidR="008E714F" w:rsidRPr="001D6ACB" w:rsidRDefault="008E714F" w:rsidP="008E714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214"/>
          <w:tab w:val="left" w:pos="9498"/>
        </w:tabs>
        <w:ind w:right="28" w:firstLine="567"/>
        <w:contextualSpacing/>
        <w:jc w:val="both"/>
        <w:textAlignment w:val="baseline"/>
        <w:rPr>
          <w:rFonts w:ascii="Times New Roman" w:hAnsi="Times New Roman"/>
          <w:color w:val="auto"/>
          <w:sz w:val="24"/>
          <w:szCs w:val="24"/>
          <w:lang w:val="uk-UA"/>
        </w:rPr>
      </w:pPr>
      <w:r w:rsidRPr="001D6ACB">
        <w:rPr>
          <w:rFonts w:ascii="Times New Roman" w:hAnsi="Times New Roman"/>
          <w:color w:val="auto"/>
          <w:sz w:val="24"/>
          <w:szCs w:val="24"/>
          <w:lang w:val="uk-UA"/>
        </w:rPr>
        <w:t xml:space="preserve">Формування змін до фінансового плану на  2024 рік  КНП «Ємільчинська лікарня» Ємільчинської селищної ради  здійснено на підставі вимог: </w:t>
      </w:r>
    </w:p>
    <w:p w:rsidR="008E714F" w:rsidRPr="001D6ACB" w:rsidRDefault="008E714F" w:rsidP="008E714F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  <w:tab w:val="left" w:pos="1843"/>
        </w:tabs>
        <w:ind w:right="28"/>
        <w:contextualSpacing/>
        <w:jc w:val="both"/>
        <w:textAlignment w:val="baseline"/>
        <w:rPr>
          <w:rFonts w:ascii="Times New Roman" w:hAnsi="Times New Roman"/>
          <w:bCs/>
          <w:iCs/>
          <w:color w:val="auto"/>
          <w:sz w:val="24"/>
          <w:szCs w:val="24"/>
          <w:lang w:val="uk-UA"/>
        </w:rPr>
      </w:pPr>
      <w:r w:rsidRPr="001D6ACB">
        <w:rPr>
          <w:rFonts w:ascii="Times New Roman" w:hAnsi="Times New Roman"/>
          <w:color w:val="auto"/>
          <w:sz w:val="24"/>
          <w:szCs w:val="24"/>
          <w:lang w:val="uk-UA"/>
        </w:rPr>
        <w:t>Господарського кодексу  України ст. 78.</w:t>
      </w:r>
    </w:p>
    <w:p w:rsidR="008E714F" w:rsidRPr="001D6ACB" w:rsidRDefault="008E714F" w:rsidP="008E714F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  <w:tab w:val="left" w:pos="1843"/>
        </w:tabs>
        <w:ind w:right="28"/>
        <w:contextualSpacing/>
        <w:jc w:val="both"/>
        <w:textAlignment w:val="baseline"/>
        <w:rPr>
          <w:rFonts w:ascii="Times New Roman" w:hAnsi="Times New Roman"/>
          <w:bCs/>
          <w:iCs/>
          <w:color w:val="auto"/>
          <w:sz w:val="24"/>
          <w:szCs w:val="24"/>
          <w:lang w:val="uk-UA"/>
        </w:rPr>
      </w:pPr>
      <w:r w:rsidRPr="001D6ACB">
        <w:rPr>
          <w:rFonts w:ascii="Times New Roman" w:hAnsi="Times New Roman"/>
          <w:color w:val="auto"/>
          <w:sz w:val="24"/>
          <w:szCs w:val="24"/>
          <w:lang w:val="uk-UA"/>
        </w:rPr>
        <w:t>Бюджетний кодекс України.</w:t>
      </w:r>
    </w:p>
    <w:p w:rsidR="008E714F" w:rsidRPr="001D6ACB" w:rsidRDefault="008E714F" w:rsidP="008E714F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  <w:tab w:val="left" w:pos="1843"/>
        </w:tabs>
        <w:ind w:right="28"/>
        <w:contextualSpacing/>
        <w:jc w:val="both"/>
        <w:textAlignment w:val="baseline"/>
        <w:rPr>
          <w:rFonts w:ascii="Times New Roman" w:hAnsi="Times New Roman"/>
          <w:bCs/>
          <w:iCs/>
          <w:color w:val="auto"/>
          <w:sz w:val="24"/>
          <w:szCs w:val="24"/>
          <w:lang w:val="uk-UA"/>
        </w:rPr>
      </w:pPr>
      <w:r w:rsidRPr="001D6ACB">
        <w:rPr>
          <w:rFonts w:ascii="Times New Roman" w:hAnsi="Times New Roman"/>
          <w:color w:val="auto"/>
          <w:sz w:val="24"/>
          <w:szCs w:val="24"/>
        </w:rPr>
        <w:t>Закон від 21.05.97 р. № 280/97-ВР «</w:t>
      </w:r>
      <w:hyperlink r:id="rId6" w:tgtFrame="_blank" w:history="1">
        <w:r w:rsidRPr="001D6ACB">
          <w:rPr>
            <w:rStyle w:val="a5"/>
            <w:rFonts w:ascii="Times New Roman" w:hAnsi="Times New Roman"/>
            <w:color w:val="auto"/>
            <w:sz w:val="24"/>
            <w:szCs w:val="24"/>
            <w:bdr w:val="none" w:sz="0" w:space="0" w:color="auto" w:frame="1"/>
          </w:rPr>
          <w:t>Про місцеве самоврядування в Україні</w:t>
        </w:r>
      </w:hyperlink>
      <w:r w:rsidRPr="001D6ACB">
        <w:rPr>
          <w:rFonts w:ascii="Times New Roman" w:hAnsi="Times New Roman"/>
          <w:color w:val="auto"/>
          <w:sz w:val="24"/>
          <w:szCs w:val="24"/>
        </w:rPr>
        <w:t>»</w:t>
      </w:r>
    </w:p>
    <w:p w:rsidR="008E714F" w:rsidRPr="001D6ACB" w:rsidRDefault="008E714F" w:rsidP="008E714F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  <w:tab w:val="left" w:pos="1843"/>
        </w:tabs>
        <w:ind w:right="28"/>
        <w:contextualSpacing/>
        <w:jc w:val="both"/>
        <w:textAlignment w:val="baseline"/>
        <w:rPr>
          <w:rFonts w:ascii="Times New Roman" w:hAnsi="Times New Roman"/>
          <w:bCs/>
          <w:iCs/>
          <w:color w:val="auto"/>
          <w:sz w:val="24"/>
          <w:szCs w:val="24"/>
          <w:lang w:val="uk-UA"/>
        </w:rPr>
      </w:pPr>
      <w:r w:rsidRPr="001D6ACB">
        <w:rPr>
          <w:rFonts w:ascii="Times New Roman" w:hAnsi="Times New Roman"/>
          <w:color w:val="auto"/>
          <w:sz w:val="24"/>
          <w:szCs w:val="24"/>
          <w:lang w:val="uk-UA"/>
        </w:rPr>
        <w:t>Наказу Міністерства економічного розвитку і торгівлі України від 02.03.2015 № 205 «</w:t>
      </w:r>
      <w:r w:rsidRPr="001D6ACB">
        <w:rPr>
          <w:rFonts w:ascii="Times New Roman" w:eastAsia="Times New Roman" w:hAnsi="Times New Roman"/>
          <w:bCs/>
          <w:color w:val="auto"/>
          <w:sz w:val="24"/>
          <w:szCs w:val="24"/>
          <w:lang w:val="uk-UA" w:eastAsia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Pr="001D6ACB">
        <w:rPr>
          <w:rFonts w:ascii="Times New Roman" w:hAnsi="Times New Roman"/>
          <w:color w:val="auto"/>
          <w:sz w:val="24"/>
          <w:szCs w:val="24"/>
          <w:lang w:val="uk-UA"/>
        </w:rPr>
        <w:t>» зі змінами</w:t>
      </w:r>
    </w:p>
    <w:p w:rsidR="008E714F" w:rsidRPr="001D6ACB" w:rsidRDefault="008E714F" w:rsidP="008E714F">
      <w:pPr>
        <w:pStyle w:val="a6"/>
        <w:numPr>
          <w:ilvl w:val="0"/>
          <w:numId w:val="2"/>
        </w:numPr>
        <w:tabs>
          <w:tab w:val="left" w:pos="709"/>
          <w:tab w:val="left" w:pos="1843"/>
        </w:tabs>
        <w:spacing w:after="0" w:line="240" w:lineRule="auto"/>
        <w:ind w:right="28"/>
        <w:jc w:val="both"/>
        <w:rPr>
          <w:rFonts w:ascii="Times New Roman" w:hAnsi="Times New Roman"/>
          <w:bCs/>
          <w:iCs/>
          <w:sz w:val="24"/>
          <w:szCs w:val="24"/>
        </w:rPr>
      </w:pPr>
      <w:r w:rsidRPr="001D6ACB">
        <w:rPr>
          <w:rFonts w:ascii="Times New Roman" w:hAnsi="Times New Roman"/>
          <w:bCs/>
          <w:iCs/>
          <w:sz w:val="24"/>
          <w:szCs w:val="24"/>
        </w:rPr>
        <w:t>Нормативно-правових актів, які регламентують діяльність підприємств та складання фінансового плану даними підприємствами, Господарського  кодексу України (із змінами та доповненнями), а також інших нормативних документів.</w:t>
      </w:r>
    </w:p>
    <w:p w:rsidR="008E714F" w:rsidRPr="001D6ACB" w:rsidRDefault="008E714F" w:rsidP="008E714F">
      <w:pPr>
        <w:pStyle w:val="a6"/>
        <w:numPr>
          <w:ilvl w:val="0"/>
          <w:numId w:val="2"/>
        </w:numPr>
        <w:tabs>
          <w:tab w:val="left" w:pos="709"/>
          <w:tab w:val="left" w:pos="1843"/>
        </w:tabs>
        <w:spacing w:after="0" w:line="240" w:lineRule="auto"/>
        <w:ind w:right="28"/>
        <w:jc w:val="both"/>
        <w:rPr>
          <w:rFonts w:ascii="Times New Roman" w:hAnsi="Times New Roman"/>
          <w:bCs/>
          <w:iCs/>
          <w:sz w:val="24"/>
          <w:szCs w:val="24"/>
        </w:rPr>
      </w:pPr>
      <w:r w:rsidRPr="001D6ACB">
        <w:rPr>
          <w:rFonts w:ascii="Times New Roman" w:hAnsi="Times New Roman"/>
          <w:sz w:val="24"/>
          <w:szCs w:val="24"/>
          <w:shd w:val="clear" w:color="auto" w:fill="FFFFFF"/>
        </w:rPr>
        <w:t>Порядок реалізації програми медичних гарантій на 2024 рік</w:t>
      </w:r>
    </w:p>
    <w:p w:rsidR="008E714F" w:rsidRPr="001D6ACB" w:rsidRDefault="008E714F" w:rsidP="008E714F">
      <w:pPr>
        <w:tabs>
          <w:tab w:val="left" w:pos="9214"/>
          <w:tab w:val="left" w:pos="9498"/>
        </w:tabs>
        <w:ind w:left="141" w:right="28" w:firstLine="567"/>
        <w:contextualSpacing/>
        <w:jc w:val="both"/>
        <w:rPr>
          <w:bCs/>
        </w:rPr>
      </w:pPr>
      <w:r w:rsidRPr="001D6ACB">
        <w:rPr>
          <w:bCs/>
        </w:rPr>
        <w:t xml:space="preserve">Зміни до фінансового плану сформовано відповідно до </w:t>
      </w:r>
      <w:r w:rsidRPr="001D6ACB">
        <w:t>методологічних засад, визначених національними положеннями (стандартами) бухгалтерського обліку, міжнародними стандартами фінансової звітності та відповідною обліковою політикою, згідно з якими підприємство складає свою фінансову звітність. Фінансова інформація, яка не є складовою фінансової звітності, формується на методологічних засадах, які застосовуються підприємством відповідно до законодавства, податкової та статистичної звітності.</w:t>
      </w:r>
    </w:p>
    <w:p w:rsidR="008E714F" w:rsidRPr="001D6ACB" w:rsidRDefault="008E714F" w:rsidP="008E714F">
      <w:pPr>
        <w:tabs>
          <w:tab w:val="left" w:pos="9214"/>
          <w:tab w:val="left" w:pos="9498"/>
        </w:tabs>
        <w:ind w:right="28" w:firstLine="567"/>
        <w:contextualSpacing/>
        <w:jc w:val="both"/>
        <w:rPr>
          <w:bCs/>
          <w:iCs/>
        </w:rPr>
      </w:pPr>
      <w:r w:rsidRPr="001D6ACB">
        <w:rPr>
          <w:bCs/>
          <w:iCs/>
        </w:rPr>
        <w:t>Розрахунок статей фінансового плану проведено на підставі:</w:t>
      </w:r>
    </w:p>
    <w:p w:rsidR="008E714F" w:rsidRPr="001D6ACB" w:rsidRDefault="008E714F" w:rsidP="008E714F">
      <w:pPr>
        <w:pStyle w:val="a6"/>
        <w:widowControl w:val="0"/>
        <w:numPr>
          <w:ilvl w:val="0"/>
          <w:numId w:val="1"/>
        </w:numPr>
        <w:tabs>
          <w:tab w:val="left" w:pos="1134"/>
          <w:tab w:val="left" w:pos="1843"/>
          <w:tab w:val="left" w:pos="9214"/>
        </w:tabs>
        <w:autoSpaceDE w:val="0"/>
        <w:autoSpaceDN w:val="0"/>
        <w:spacing w:after="0" w:line="240" w:lineRule="auto"/>
        <w:ind w:left="1418" w:right="28" w:firstLine="0"/>
        <w:jc w:val="both"/>
        <w:rPr>
          <w:rFonts w:ascii="Times New Roman" w:hAnsi="Times New Roman"/>
          <w:b/>
          <w:sz w:val="24"/>
          <w:szCs w:val="24"/>
        </w:rPr>
      </w:pPr>
      <w:r w:rsidRPr="001D6ACB">
        <w:rPr>
          <w:rFonts w:ascii="Times New Roman" w:hAnsi="Times New Roman"/>
          <w:bCs/>
          <w:iCs/>
          <w:sz w:val="24"/>
          <w:szCs w:val="24"/>
        </w:rPr>
        <w:t xml:space="preserve">запланованої </w:t>
      </w:r>
      <w:r w:rsidRPr="001D6ACB">
        <w:rPr>
          <w:rFonts w:ascii="Times New Roman" w:hAnsi="Times New Roman"/>
          <w:sz w:val="24"/>
          <w:szCs w:val="24"/>
        </w:rPr>
        <w:t>глобальної  ставки;</w:t>
      </w:r>
    </w:p>
    <w:p w:rsidR="008E714F" w:rsidRPr="001D6ACB" w:rsidRDefault="008E714F" w:rsidP="008E714F">
      <w:pPr>
        <w:pStyle w:val="a6"/>
        <w:widowControl w:val="0"/>
        <w:numPr>
          <w:ilvl w:val="0"/>
          <w:numId w:val="1"/>
        </w:numPr>
        <w:tabs>
          <w:tab w:val="left" w:pos="1134"/>
          <w:tab w:val="left" w:pos="1843"/>
          <w:tab w:val="left" w:pos="9214"/>
        </w:tabs>
        <w:autoSpaceDE w:val="0"/>
        <w:autoSpaceDN w:val="0"/>
        <w:spacing w:after="0" w:line="240" w:lineRule="auto"/>
        <w:ind w:left="1418" w:right="28" w:firstLine="0"/>
        <w:jc w:val="both"/>
        <w:rPr>
          <w:rFonts w:ascii="Times New Roman" w:hAnsi="Times New Roman"/>
          <w:b/>
          <w:sz w:val="24"/>
          <w:szCs w:val="24"/>
        </w:rPr>
      </w:pPr>
      <w:r w:rsidRPr="001D6ACB">
        <w:rPr>
          <w:rFonts w:ascii="Times New Roman" w:hAnsi="Times New Roman"/>
          <w:sz w:val="24"/>
          <w:szCs w:val="24"/>
        </w:rPr>
        <w:t>кількості пролікованих випадків;</w:t>
      </w:r>
    </w:p>
    <w:p w:rsidR="008E714F" w:rsidRPr="001D6ACB" w:rsidRDefault="008E714F" w:rsidP="008E714F">
      <w:pPr>
        <w:pStyle w:val="a6"/>
        <w:widowControl w:val="0"/>
        <w:numPr>
          <w:ilvl w:val="0"/>
          <w:numId w:val="1"/>
        </w:numPr>
        <w:tabs>
          <w:tab w:val="left" w:pos="1134"/>
          <w:tab w:val="left" w:pos="1843"/>
          <w:tab w:val="left" w:pos="9214"/>
        </w:tabs>
        <w:autoSpaceDE w:val="0"/>
        <w:autoSpaceDN w:val="0"/>
        <w:spacing w:after="0" w:line="240" w:lineRule="auto"/>
        <w:ind w:left="1418" w:right="28" w:firstLine="0"/>
        <w:jc w:val="both"/>
        <w:rPr>
          <w:rFonts w:ascii="Times New Roman" w:hAnsi="Times New Roman"/>
          <w:b/>
          <w:sz w:val="24"/>
          <w:szCs w:val="24"/>
        </w:rPr>
      </w:pPr>
      <w:r w:rsidRPr="001D6ACB">
        <w:rPr>
          <w:rFonts w:ascii="Times New Roman" w:hAnsi="Times New Roman"/>
          <w:sz w:val="24"/>
          <w:szCs w:val="24"/>
        </w:rPr>
        <w:t>обсягу цільового фінансування  на виконання цільових програм;</w:t>
      </w:r>
    </w:p>
    <w:p w:rsidR="008E714F" w:rsidRPr="001D6ACB" w:rsidRDefault="008E714F" w:rsidP="008E714F">
      <w:pPr>
        <w:pStyle w:val="a6"/>
        <w:widowControl w:val="0"/>
        <w:numPr>
          <w:ilvl w:val="0"/>
          <w:numId w:val="1"/>
        </w:numPr>
        <w:tabs>
          <w:tab w:val="left" w:pos="1134"/>
          <w:tab w:val="left" w:pos="1843"/>
          <w:tab w:val="left" w:pos="9214"/>
        </w:tabs>
        <w:autoSpaceDE w:val="0"/>
        <w:autoSpaceDN w:val="0"/>
        <w:spacing w:after="0" w:line="240" w:lineRule="auto"/>
        <w:ind w:left="1418" w:right="28" w:firstLine="0"/>
        <w:jc w:val="both"/>
        <w:rPr>
          <w:rFonts w:ascii="Times New Roman" w:hAnsi="Times New Roman"/>
          <w:b/>
          <w:sz w:val="24"/>
          <w:szCs w:val="24"/>
        </w:rPr>
      </w:pPr>
      <w:r w:rsidRPr="001D6ACB">
        <w:rPr>
          <w:rFonts w:ascii="Times New Roman" w:hAnsi="Times New Roman"/>
          <w:sz w:val="24"/>
          <w:szCs w:val="24"/>
        </w:rPr>
        <w:t>рівню мінімальної заробітної плати;</w:t>
      </w:r>
    </w:p>
    <w:p w:rsidR="008E714F" w:rsidRPr="001D6ACB" w:rsidRDefault="008E714F" w:rsidP="008E714F">
      <w:pPr>
        <w:pStyle w:val="a6"/>
        <w:widowControl w:val="0"/>
        <w:numPr>
          <w:ilvl w:val="0"/>
          <w:numId w:val="1"/>
        </w:numPr>
        <w:tabs>
          <w:tab w:val="left" w:pos="1134"/>
          <w:tab w:val="left" w:pos="1843"/>
          <w:tab w:val="left" w:pos="9214"/>
        </w:tabs>
        <w:autoSpaceDE w:val="0"/>
        <w:autoSpaceDN w:val="0"/>
        <w:spacing w:after="0" w:line="240" w:lineRule="auto"/>
        <w:ind w:left="1418" w:right="28" w:firstLine="0"/>
        <w:jc w:val="both"/>
        <w:rPr>
          <w:rFonts w:ascii="Times New Roman" w:hAnsi="Times New Roman"/>
          <w:b/>
          <w:sz w:val="24"/>
          <w:szCs w:val="24"/>
        </w:rPr>
      </w:pPr>
      <w:r w:rsidRPr="001D6ACB">
        <w:rPr>
          <w:rFonts w:ascii="Times New Roman" w:hAnsi="Times New Roman"/>
          <w:sz w:val="24"/>
          <w:szCs w:val="24"/>
        </w:rPr>
        <w:t>інші показники, що визначають рівень доходів і витрат підприємства.</w:t>
      </w:r>
      <w:r w:rsidRPr="001D6ACB">
        <w:rPr>
          <w:rFonts w:ascii="Times New Roman" w:hAnsi="Times New Roman"/>
          <w:b/>
          <w:sz w:val="24"/>
          <w:szCs w:val="24"/>
        </w:rPr>
        <w:t xml:space="preserve"> </w:t>
      </w:r>
    </w:p>
    <w:p w:rsidR="008E714F" w:rsidRPr="001D6ACB" w:rsidRDefault="008E714F" w:rsidP="008E714F">
      <w:pPr>
        <w:pStyle w:val="a8"/>
        <w:tabs>
          <w:tab w:val="left" w:pos="9923"/>
        </w:tabs>
        <w:spacing w:after="0"/>
        <w:ind w:right="28" w:firstLine="426"/>
        <w:contextualSpacing/>
        <w:jc w:val="both"/>
        <w:rPr>
          <w:rStyle w:val="a7"/>
          <w:rFonts w:ascii="Times New Roman" w:hAnsi="Times New Roman"/>
          <w:i w:val="0"/>
          <w:lang w:val="uk-UA"/>
        </w:rPr>
      </w:pPr>
      <w:r w:rsidRPr="001D6ACB">
        <w:rPr>
          <w:rStyle w:val="a7"/>
          <w:rFonts w:ascii="Times New Roman" w:hAnsi="Times New Roman"/>
          <w:lang w:val="uk-UA"/>
        </w:rPr>
        <w:t>Метою розроблення, внесення на розгляд та затвердження змін  до фінансового  плану підприємства є забезпечення ефективності функціонування лікарні та безперервності надання медичних послуг населенню, максимального використання фінансових можливостей та наявних фінансових ресурсів для покращення якості надання вторинної медичної допомоги населенню.</w:t>
      </w:r>
    </w:p>
    <w:p w:rsidR="008E714F" w:rsidRPr="001D6ACB" w:rsidRDefault="008E714F" w:rsidP="008E714F">
      <w:pPr>
        <w:pStyle w:val="a8"/>
        <w:tabs>
          <w:tab w:val="left" w:pos="9923"/>
        </w:tabs>
        <w:spacing w:after="0"/>
        <w:ind w:right="28" w:firstLine="567"/>
        <w:contextualSpacing/>
        <w:jc w:val="both"/>
        <w:rPr>
          <w:rStyle w:val="a7"/>
          <w:rFonts w:ascii="Times New Roman" w:hAnsi="Times New Roman"/>
          <w:i w:val="0"/>
          <w:lang w:val="uk-UA"/>
        </w:rPr>
      </w:pPr>
      <w:r w:rsidRPr="001D6ACB">
        <w:rPr>
          <w:rStyle w:val="a7"/>
          <w:lang w:val="uk-UA"/>
        </w:rPr>
        <w:br w:type="page"/>
      </w:r>
      <w:r w:rsidRPr="001D6ACB">
        <w:rPr>
          <w:rStyle w:val="a7"/>
          <w:rFonts w:ascii="Times New Roman" w:hAnsi="Times New Roman"/>
          <w:lang w:val="uk-UA"/>
        </w:rPr>
        <w:lastRenderedPageBreak/>
        <w:t>Метою функціонування комунального некомерційного підприємства «</w:t>
      </w:r>
      <w:r w:rsidRPr="001D6ACB">
        <w:rPr>
          <w:rFonts w:ascii="Times New Roman" w:hAnsi="Times New Roman"/>
          <w:lang w:val="uk-UA"/>
        </w:rPr>
        <w:t>Ємільчинська лікарня» Ємільчинської селищної ради Житомирської області</w:t>
      </w:r>
      <w:r w:rsidRPr="001D6ACB">
        <w:rPr>
          <w:rStyle w:val="a7"/>
          <w:rFonts w:ascii="Times New Roman" w:hAnsi="Times New Roman"/>
          <w:lang w:val="uk-UA"/>
        </w:rPr>
        <w:t xml:space="preserve"> є :</w:t>
      </w:r>
    </w:p>
    <w:p w:rsidR="008E714F" w:rsidRPr="001D6ACB" w:rsidRDefault="008E714F" w:rsidP="008E714F">
      <w:pPr>
        <w:pStyle w:val="a8"/>
        <w:tabs>
          <w:tab w:val="left" w:pos="9923"/>
        </w:tabs>
        <w:spacing w:after="0"/>
        <w:ind w:right="28" w:firstLine="567"/>
        <w:contextualSpacing/>
        <w:jc w:val="both"/>
        <w:rPr>
          <w:rStyle w:val="a7"/>
          <w:rFonts w:ascii="Times New Roman" w:hAnsi="Times New Roman"/>
          <w:i w:val="0"/>
          <w:lang w:val="uk-UA"/>
        </w:rPr>
      </w:pPr>
      <w:r w:rsidRPr="001D6ACB">
        <w:rPr>
          <w:rStyle w:val="a7"/>
          <w:rFonts w:ascii="Times New Roman" w:hAnsi="Times New Roman"/>
          <w:lang w:val="uk-UA"/>
        </w:rPr>
        <w:t>- забезпечення потреб населення у загальній, спеціалізованій та кваліфікованій поліклінічній (консультативно-діагностичній) медичній допомозі;</w:t>
      </w:r>
    </w:p>
    <w:p w:rsidR="008E714F" w:rsidRPr="001D6ACB" w:rsidRDefault="008E714F" w:rsidP="008E714F">
      <w:pPr>
        <w:pStyle w:val="a8"/>
        <w:tabs>
          <w:tab w:val="left" w:pos="9923"/>
        </w:tabs>
        <w:spacing w:after="0"/>
        <w:ind w:right="28" w:firstLine="567"/>
        <w:contextualSpacing/>
        <w:jc w:val="both"/>
        <w:rPr>
          <w:rStyle w:val="a7"/>
          <w:rFonts w:ascii="Times New Roman" w:hAnsi="Times New Roman"/>
          <w:i w:val="0"/>
          <w:lang w:val="uk-UA"/>
        </w:rPr>
      </w:pPr>
      <w:r w:rsidRPr="001D6ACB">
        <w:rPr>
          <w:rStyle w:val="a7"/>
          <w:rFonts w:ascii="Times New Roman" w:hAnsi="Times New Roman"/>
          <w:lang w:val="uk-UA"/>
        </w:rPr>
        <w:t>- стаціонарній медичній допомозі за профілем, відповідно до спеціалізації закладу;</w:t>
      </w:r>
    </w:p>
    <w:p w:rsidR="008E714F" w:rsidRPr="001D6ACB" w:rsidRDefault="008E714F" w:rsidP="008E714F">
      <w:pPr>
        <w:pStyle w:val="a8"/>
        <w:tabs>
          <w:tab w:val="left" w:pos="9923"/>
        </w:tabs>
        <w:spacing w:after="0"/>
        <w:ind w:right="28" w:firstLine="567"/>
        <w:contextualSpacing/>
        <w:jc w:val="both"/>
        <w:rPr>
          <w:rStyle w:val="a7"/>
          <w:rFonts w:ascii="Times New Roman" w:hAnsi="Times New Roman"/>
          <w:i w:val="0"/>
          <w:lang w:val="uk-UA"/>
        </w:rPr>
      </w:pPr>
      <w:r w:rsidRPr="001D6ACB">
        <w:rPr>
          <w:rStyle w:val="a7"/>
          <w:rFonts w:ascii="Times New Roman" w:hAnsi="Times New Roman"/>
          <w:lang w:val="uk-UA"/>
        </w:rPr>
        <w:t xml:space="preserve">- здійснення консультативного прийому населення, а також реалізації державної політики в галузі охорони </w:t>
      </w:r>
      <w:proofErr w:type="spellStart"/>
      <w:r w:rsidRPr="001D6ACB">
        <w:rPr>
          <w:rStyle w:val="a7"/>
          <w:rFonts w:ascii="Times New Roman" w:hAnsi="Times New Roman"/>
          <w:lang w:val="uk-UA"/>
        </w:rPr>
        <w:t>здоров</w:t>
      </w:r>
      <w:proofErr w:type="spellEnd"/>
      <w:r w:rsidRPr="001D6ACB">
        <w:rPr>
          <w:rStyle w:val="a7"/>
          <w:rFonts w:ascii="Times New Roman" w:hAnsi="Times New Roman"/>
        </w:rPr>
        <w:t>’</w:t>
      </w:r>
      <w:r w:rsidRPr="001D6ACB">
        <w:rPr>
          <w:rStyle w:val="a7"/>
          <w:rFonts w:ascii="Times New Roman" w:hAnsi="Times New Roman"/>
          <w:lang w:val="uk-UA"/>
        </w:rPr>
        <w:t>я.</w:t>
      </w:r>
    </w:p>
    <w:p w:rsidR="008E714F" w:rsidRPr="001D6ACB" w:rsidRDefault="008E714F" w:rsidP="008E714F">
      <w:pPr>
        <w:ind w:firstLine="567"/>
        <w:contextualSpacing/>
      </w:pPr>
      <w:r w:rsidRPr="001D6ACB">
        <w:t>Предметом діяльності Підприємства є медична практика, яка включає в себе основні напрямки надання кваліфікованої поліклінічної, консультативної, діагностичної, стаціонарної медичної допомоги населенню .</w:t>
      </w:r>
    </w:p>
    <w:p w:rsidR="008E714F" w:rsidRPr="001D6ACB" w:rsidRDefault="008E714F" w:rsidP="008E71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E714F" w:rsidRPr="001D6ACB" w:rsidRDefault="008E714F" w:rsidP="008E714F">
      <w:pPr>
        <w:jc w:val="center"/>
      </w:pPr>
      <w:r w:rsidRPr="001D6ACB">
        <w:t xml:space="preserve">Пояснення та </w:t>
      </w:r>
      <w:proofErr w:type="spellStart"/>
      <w:r w:rsidRPr="001D6ACB">
        <w:t>обгрунтування</w:t>
      </w:r>
      <w:proofErr w:type="spellEnd"/>
    </w:p>
    <w:p w:rsidR="008E714F" w:rsidRPr="001D6ACB" w:rsidRDefault="008E714F" w:rsidP="008E714F">
      <w:pPr>
        <w:jc w:val="center"/>
      </w:pPr>
      <w:r w:rsidRPr="001D6ACB">
        <w:t>змін  доходної та видаткової частин фінансового плану (тис. грн.)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5"/>
        <w:gridCol w:w="1834"/>
        <w:gridCol w:w="1792"/>
        <w:gridCol w:w="1619"/>
        <w:gridCol w:w="2258"/>
      </w:tblGrid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Найменування</w:t>
            </w:r>
          </w:p>
          <w:p w:rsidR="008E714F" w:rsidRPr="001D6ACB" w:rsidRDefault="008E714F" w:rsidP="009B1CB3">
            <w:r w:rsidRPr="001D6ACB">
              <w:t>показників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 xml:space="preserve">Планові показники фінансового плану, які затверджені 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Зміни у показниках фінансового плану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Різниця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 xml:space="preserve">Пояснення відхилень від за планових показників </w:t>
            </w:r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Доходна частина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51472,1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61009,9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+ 9537,8</w:t>
            </w:r>
          </w:p>
        </w:tc>
        <w:tc>
          <w:tcPr>
            <w:tcW w:w="2258" w:type="dxa"/>
          </w:tcPr>
          <w:p w:rsidR="008E714F" w:rsidRPr="001D6ACB" w:rsidRDefault="008E714F" w:rsidP="009B1CB3"/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Доходи за договорами НСЗУ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42378,7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51916,5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+9537,8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>Збільшено у зв</w:t>
            </w:r>
            <w:r w:rsidRPr="001D6ACB">
              <w:rPr>
                <w:lang w:val="ru-RU"/>
              </w:rPr>
              <w:t>’</w:t>
            </w:r>
            <w:proofErr w:type="spellStart"/>
            <w:r w:rsidRPr="001D6ACB">
              <w:t>язку</w:t>
            </w:r>
            <w:proofErr w:type="spellEnd"/>
            <w:r w:rsidRPr="001D6ACB">
              <w:t xml:space="preserve"> збільшенням пролікованих випадків</w:t>
            </w:r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Видаткова частина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51472,1</w:t>
            </w:r>
          </w:p>
          <w:p w:rsidR="008E714F" w:rsidRPr="001D6ACB" w:rsidRDefault="008E714F" w:rsidP="009B1CB3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61009,9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+9537,8</w:t>
            </w:r>
          </w:p>
        </w:tc>
        <w:tc>
          <w:tcPr>
            <w:tcW w:w="2258" w:type="dxa"/>
          </w:tcPr>
          <w:p w:rsidR="008E714F" w:rsidRPr="001D6ACB" w:rsidRDefault="008E714F" w:rsidP="009B1CB3"/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Заробітна плата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30531,8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33513,5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+2981,7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>Збільшено у зв</w:t>
            </w:r>
            <w:r w:rsidRPr="001D6ACB">
              <w:rPr>
                <w:lang w:val="ru-RU"/>
              </w:rPr>
              <w:t>’</w:t>
            </w:r>
            <w:proofErr w:type="spellStart"/>
            <w:r w:rsidRPr="001D6ACB">
              <w:t>язку</w:t>
            </w:r>
            <w:proofErr w:type="spellEnd"/>
            <w:r w:rsidRPr="001D6ACB">
              <w:t xml:space="preserve"> з виплатою заохочувальних виплат</w:t>
            </w:r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Нарахування на заробітну плату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6011,6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7004,3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+992,7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>Збільшено у зв</w:t>
            </w:r>
            <w:r w:rsidRPr="001D6ACB">
              <w:rPr>
                <w:lang w:val="ru-RU"/>
              </w:rPr>
              <w:t>’</w:t>
            </w:r>
            <w:proofErr w:type="spellStart"/>
            <w:r w:rsidRPr="001D6ACB">
              <w:t>язку</w:t>
            </w:r>
            <w:proofErr w:type="spellEnd"/>
            <w:r w:rsidRPr="001D6ACB">
              <w:t xml:space="preserve"> збільшенням заробітної плати</w:t>
            </w:r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 xml:space="preserve">Предмети, матеріали, обладнання та інвентар 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1653,2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1596,3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-56,90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>Зменшені видатки у зв</w:t>
            </w:r>
            <w:r w:rsidRPr="001D6ACB">
              <w:rPr>
                <w:lang w:val="ru-RU"/>
              </w:rPr>
              <w:t>’</w:t>
            </w:r>
            <w:proofErr w:type="spellStart"/>
            <w:r w:rsidRPr="001D6ACB">
              <w:t>язку</w:t>
            </w:r>
            <w:proofErr w:type="spellEnd"/>
            <w:r w:rsidRPr="001D6ACB">
              <w:t xml:space="preserve"> з перерозподілом</w:t>
            </w:r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 xml:space="preserve">Медикаменти та </w:t>
            </w:r>
            <w:proofErr w:type="spellStart"/>
            <w:r w:rsidRPr="001D6ACB">
              <w:t>перев</w:t>
            </w:r>
            <w:proofErr w:type="spellEnd"/>
            <w:r w:rsidRPr="001D6ACB">
              <w:rPr>
                <w:lang w:val="en-US"/>
              </w:rPr>
              <w:t>’</w:t>
            </w:r>
            <w:proofErr w:type="spellStart"/>
            <w:r w:rsidRPr="001D6ACB">
              <w:t>язувальні</w:t>
            </w:r>
            <w:proofErr w:type="spellEnd"/>
            <w:r w:rsidRPr="001D6ACB">
              <w:t xml:space="preserve"> матеріали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2217,5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2917,5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+700,0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>Збільшено у зв</w:t>
            </w:r>
            <w:r w:rsidRPr="001D6ACB">
              <w:rPr>
                <w:lang w:val="ru-RU"/>
              </w:rPr>
              <w:t>’</w:t>
            </w:r>
            <w:proofErr w:type="spellStart"/>
            <w:r w:rsidRPr="001D6ACB">
              <w:t>язку</w:t>
            </w:r>
            <w:proofErr w:type="spellEnd"/>
            <w:r w:rsidRPr="001D6ACB">
              <w:t xml:space="preserve"> з необхідністю в лікарських засобах, медичних виробів</w:t>
            </w:r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Оплата послуг (крім комунальних)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2545,7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2729,3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+183,6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 xml:space="preserve">Збільшені планові показники на поточні ремонти </w:t>
            </w:r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 xml:space="preserve">Окремі заходи по реалізації державних (регіональних) програм не </w:t>
            </w:r>
            <w:r w:rsidRPr="001D6ACB">
              <w:lastRenderedPageBreak/>
              <w:t>віднесених до заходів розвитку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lastRenderedPageBreak/>
              <w:t>140,0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200,0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+60,0</w:t>
            </w:r>
          </w:p>
        </w:tc>
        <w:tc>
          <w:tcPr>
            <w:tcW w:w="2258" w:type="dxa"/>
          </w:tcPr>
          <w:p w:rsidR="008E714F" w:rsidRPr="001D6ACB" w:rsidRDefault="008E714F" w:rsidP="009B1CB3">
            <w:r w:rsidRPr="001D6ACB">
              <w:t>Збільшено у зв</w:t>
            </w:r>
            <w:r w:rsidRPr="001D6ACB">
              <w:rPr>
                <w:lang w:val="ru-RU"/>
              </w:rPr>
              <w:t>’</w:t>
            </w:r>
            <w:proofErr w:type="spellStart"/>
            <w:r w:rsidRPr="001D6ACB">
              <w:t>язку</w:t>
            </w:r>
            <w:proofErr w:type="spellEnd"/>
            <w:r w:rsidRPr="001D6ACB">
              <w:t xml:space="preserve"> з проходженням спеціалізації </w:t>
            </w:r>
            <w:proofErr w:type="spellStart"/>
            <w:r w:rsidRPr="001D6ACB">
              <w:t>ерготерапевтів</w:t>
            </w:r>
            <w:proofErr w:type="spellEnd"/>
          </w:p>
        </w:tc>
      </w:tr>
      <w:tr w:rsidR="008E714F" w:rsidRPr="001D6ACB" w:rsidTr="009B1CB3">
        <w:tc>
          <w:tcPr>
            <w:tcW w:w="2126" w:type="dxa"/>
          </w:tcPr>
          <w:p w:rsidR="008E714F" w:rsidRPr="001D6ACB" w:rsidRDefault="008E714F" w:rsidP="009B1CB3">
            <w:r w:rsidRPr="001D6ACB">
              <w:t>Капітальні витрати</w:t>
            </w:r>
          </w:p>
        </w:tc>
        <w:tc>
          <w:tcPr>
            <w:tcW w:w="1834" w:type="dxa"/>
          </w:tcPr>
          <w:p w:rsidR="008E714F" w:rsidRPr="001D6ACB" w:rsidRDefault="008E714F" w:rsidP="009B1CB3">
            <w:r w:rsidRPr="001D6ACB">
              <w:t>3088,0</w:t>
            </w:r>
          </w:p>
        </w:tc>
        <w:tc>
          <w:tcPr>
            <w:tcW w:w="1792" w:type="dxa"/>
          </w:tcPr>
          <w:p w:rsidR="008E714F" w:rsidRPr="001D6ACB" w:rsidRDefault="008E714F" w:rsidP="009B1CB3">
            <w:r w:rsidRPr="001D6ACB">
              <w:t>7764,7</w:t>
            </w:r>
          </w:p>
        </w:tc>
        <w:tc>
          <w:tcPr>
            <w:tcW w:w="1619" w:type="dxa"/>
          </w:tcPr>
          <w:p w:rsidR="008E714F" w:rsidRPr="001D6ACB" w:rsidRDefault="008E714F" w:rsidP="009B1CB3">
            <w:r w:rsidRPr="001D6ACB">
              <w:t>+4676,7</w:t>
            </w:r>
          </w:p>
        </w:tc>
        <w:tc>
          <w:tcPr>
            <w:tcW w:w="2258" w:type="dxa"/>
          </w:tcPr>
          <w:p w:rsidR="008E714F" w:rsidRPr="001D6ACB" w:rsidRDefault="008E714F" w:rsidP="009B1CB3">
            <w:pPr>
              <w:rPr>
                <w:lang w:eastAsia="uk-UA"/>
              </w:rPr>
            </w:pPr>
            <w:r w:rsidRPr="001D6ACB">
              <w:t>Збільшено видатків на придбання обладнання для наркозно-дихального апарату та до укомплектування реабілітаційного відділення.</w:t>
            </w:r>
            <w:r w:rsidRPr="001D6ACB">
              <w:rPr>
                <w:lang w:eastAsia="uk-UA"/>
              </w:rPr>
              <w:t xml:space="preserve"> </w:t>
            </w:r>
          </w:p>
          <w:p w:rsidR="008E714F" w:rsidRPr="001D6ACB" w:rsidRDefault="008E714F" w:rsidP="009B1CB3"/>
        </w:tc>
      </w:tr>
    </w:tbl>
    <w:p w:rsidR="008E714F" w:rsidRPr="001D6ACB" w:rsidRDefault="008E714F" w:rsidP="008E714F"/>
    <w:p w:rsidR="008E714F" w:rsidRPr="001D6ACB" w:rsidRDefault="008E714F" w:rsidP="008E714F"/>
    <w:p w:rsidR="008E714F" w:rsidRPr="001D6ACB" w:rsidRDefault="008E714F" w:rsidP="008E714F">
      <w:r w:rsidRPr="001D6ACB">
        <w:t>Директор                                                                            Наталія БРАНОВИЦЬКА</w:t>
      </w:r>
      <w:bookmarkEnd w:id="0"/>
    </w:p>
    <w:sectPr w:rsidR="008E714F" w:rsidRPr="001D6ACB" w:rsidSect="00026D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17F6F"/>
    <w:multiLevelType w:val="hybridMultilevel"/>
    <w:tmpl w:val="0ED2F746"/>
    <w:lvl w:ilvl="0" w:tplc="0419000D">
      <w:start w:val="1"/>
      <w:numFmt w:val="bullet"/>
      <w:lvlText w:val=""/>
      <w:lvlJc w:val="left"/>
      <w:pPr>
        <w:ind w:left="23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" w15:restartNumberingAfterBreak="0">
    <w:nsid w:val="54655FFE"/>
    <w:multiLevelType w:val="hybridMultilevel"/>
    <w:tmpl w:val="C1E4BF5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C98"/>
    <w:rsid w:val="000816C9"/>
    <w:rsid w:val="00151FD2"/>
    <w:rsid w:val="001D6ACB"/>
    <w:rsid w:val="007F0D87"/>
    <w:rsid w:val="008E714F"/>
    <w:rsid w:val="00936549"/>
    <w:rsid w:val="009C3C98"/>
    <w:rsid w:val="00E7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78F7"/>
  <w15:chartTrackingRefBased/>
  <w15:docId w15:val="{05AC1EC7-94B0-4715-80E0-A5AF0B3A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4F"/>
    <w:pPr>
      <w:spacing w:after="0" w:line="240" w:lineRule="auto"/>
    </w:pPr>
  </w:style>
  <w:style w:type="character" w:styleId="a5">
    <w:name w:val="Hyperlink"/>
    <w:uiPriority w:val="99"/>
    <w:rsid w:val="008E714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1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Emphasis"/>
    <w:basedOn w:val="a0"/>
    <w:qFormat/>
    <w:rsid w:val="008E714F"/>
    <w:rPr>
      <w:i/>
      <w:iCs/>
    </w:rPr>
  </w:style>
  <w:style w:type="paragraph" w:styleId="a8">
    <w:name w:val="Subtitle"/>
    <w:basedOn w:val="a"/>
    <w:next w:val="a"/>
    <w:link w:val="a9"/>
    <w:qFormat/>
    <w:rsid w:val="008E714F"/>
    <w:pPr>
      <w:widowControl w:val="0"/>
      <w:autoSpaceDE w:val="0"/>
      <w:autoSpaceDN w:val="0"/>
      <w:spacing w:after="60"/>
      <w:jc w:val="center"/>
      <w:outlineLvl w:val="1"/>
    </w:pPr>
    <w:rPr>
      <w:rFonts w:ascii="Cambria" w:hAnsi="Cambria"/>
      <w:lang w:val="ru-RU" w:eastAsia="zh-CN"/>
    </w:rPr>
  </w:style>
  <w:style w:type="character" w:customStyle="1" w:styleId="a9">
    <w:name w:val="Подзаголовок Знак"/>
    <w:basedOn w:val="a0"/>
    <w:link w:val="a8"/>
    <w:rsid w:val="008E714F"/>
    <w:rPr>
      <w:rFonts w:ascii="Cambria" w:eastAsia="Times New Roman" w:hAnsi="Cambria" w:cs="Times New Roman"/>
      <w:sz w:val="24"/>
      <w:szCs w:val="24"/>
      <w:lang w:val="ru-RU" w:eastAsia="zh-CN"/>
    </w:rPr>
  </w:style>
  <w:style w:type="paragraph" w:styleId="HTML">
    <w:name w:val="HTML Preformatted"/>
    <w:basedOn w:val="a"/>
    <w:link w:val="HTML0"/>
    <w:rsid w:val="008E7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mbria"/>
      <w:color w:val="FFFF00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8E714F"/>
    <w:rPr>
      <w:rFonts w:ascii="Arial Unicode MS" w:eastAsia="Arial Unicode MS" w:hAnsi="Cambria" w:cs="Times New Roman"/>
      <w:color w:val="FFFF00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uteka.ua/doc/Pro-misceve-samovryaduvannya-v-Ukrain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3619</Words>
  <Characters>2064</Characters>
  <Application>Microsoft Office Word</Application>
  <DocSecurity>0</DocSecurity>
  <Lines>17</Lines>
  <Paragraphs>11</Paragraphs>
  <ScaleCrop>false</ScaleCrop>
  <Company>SPecialiST RePack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2024-10-04T12:15:00Z</dcterms:created>
  <dcterms:modified xsi:type="dcterms:W3CDTF">2024-10-10T13:42:00Z</dcterms:modified>
</cp:coreProperties>
</file>